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10C9CC65">
      <w:pPr>
        <w:pStyle w:val="Heading1"/>
        <w:numPr>
          <w:ilvl w:val="0"/>
          <w:numId w:val="0"/>
        </w:numPr>
        <w:ind w:left="0" w:hanging="0"/>
      </w:pPr>
      <w:r w:rsidRPr="2CA04AE8" w:rsidR="2CA04AE8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14:paraId="672A665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A37501D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4"/>
      </w:tblGrid>
      <w:tr xmlns:wp14="http://schemas.microsoft.com/office/word/2010/wordml" w14:paraId="463F3986" wp14:textId="77777777">
        <w:trPr>
          <w:trHeight w:val="395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25ADA49" wp14:textId="77777777">
            <w:pPr>
              <w:pStyle w:val="Zawartotabeliuser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Gramatyka języka hiszpańskiego III</w:t>
            </w:r>
          </w:p>
        </w:tc>
      </w:tr>
      <w:tr xmlns:wp14="http://schemas.microsoft.com/office/word/2010/wordml" w14:paraId="5AB4086D" wp14:textId="77777777">
        <w:trPr>
          <w:trHeight w:val="379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198120B" wp14:textId="77777777">
            <w:pPr>
              <w:pStyle w:val="Zawartotabeliuser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Spanish Grammar III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0" w:type="dxa"/>
        <w:jc w:val="left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3"/>
        <w:gridCol w:w="3301"/>
      </w:tblGrid>
      <w:tr xmlns:wp14="http://schemas.microsoft.com/office/word/2010/wordml" w:rsidTr="494E1014" w14:paraId="0EB3491A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3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auto"/>
            <w:tcMar/>
            <w:vAlign w:val="center"/>
          </w:tcPr>
          <w:p w:rsidP="494E1014" w14:paraId="7388A754" wp14:textId="2021F73C">
            <w:pPr>
              <w:pStyle w:val="Zawartotabeliuser"/>
              <w:widowControl w:val="0"/>
              <w:suppressAutoHyphens w:val="true"/>
              <w:bidi w:val="0"/>
              <w:snapToGrid w:val="false"/>
              <w:spacing w:before="60" w:after="60"/>
              <w:jc w:val="center"/>
              <w:rPr>
                <w:noProof w:val="0"/>
                <w:sz w:val="20"/>
                <w:szCs w:val="20"/>
                <w:lang w:val="pl-PL"/>
              </w:rPr>
            </w:pPr>
            <w:r w:rsidRPr="494E1014" w:rsidR="384044D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pl-PL"/>
              </w:rPr>
              <w:t xml:space="preserve">mgr Olga </w:t>
            </w:r>
            <w:r w:rsidRPr="494E1014" w:rsidR="384044D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pl-PL"/>
              </w:rPr>
              <w:t>Grzyś</w:t>
            </w:r>
          </w:p>
        </w:tc>
        <w:tc>
          <w:tcPr>
            <w:tcW w:w="330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494E1014" w14:paraId="7E4FC6EF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6A05A809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93" w:type="dxa"/>
            <w:vMerge/>
            <w:tcBorders/>
            <w:tcMar/>
            <w:vAlign w:val="center"/>
          </w:tcPr>
          <w:p w14:paraId="5A39BBE3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1" w:type="dxa"/>
            <w:vMerge w:val="restart"/>
            <w:tcBorders>
              <w:top w:val="single" w:color="95B3D7" w:sz="2" w:space="0"/>
              <w:left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641244A0" wp14:textId="3036F0DA">
            <w:pPr>
              <w:pStyle w:val="Zawartotabeliuser"/>
              <w:snapToGrid w:val="false"/>
              <w:spacing w:before="57" w:after="57"/>
              <w:jc w:val="center"/>
            </w:pPr>
            <w:r w:rsidRPr="494E1014" w:rsidR="0169669E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14:paraId="0E28F592" wp14:textId="39AEF467">
            <w:pPr>
              <w:pStyle w:val="Zawartotabeliuser"/>
              <w:snapToGrid w:val="false"/>
              <w:spacing w:before="57" w:after="57"/>
              <w:jc w:val="center"/>
            </w:pPr>
            <w:r w:rsidRPr="494E1014" w:rsidR="0169669E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14:paraId="4327FC2B" wp14:textId="7DD6EDC6">
            <w:pPr>
              <w:pStyle w:val="Zawartotabeliuser"/>
              <w:snapToGrid w:val="false"/>
              <w:spacing w:before="57" w:after="57"/>
              <w:jc w:val="center"/>
            </w:pPr>
            <w:r w:rsidRPr="494E1014" w:rsidR="0169669E">
              <w:rPr>
                <w:rFonts w:ascii="Arial" w:hAnsi="Arial" w:cs="Arial"/>
                <w:sz w:val="20"/>
                <w:szCs w:val="20"/>
              </w:rPr>
              <w:t>mgr Olga Grzyś</w:t>
            </w:r>
          </w:p>
        </w:tc>
      </w:tr>
      <w:tr xmlns:wp14="http://schemas.microsoft.com/office/word/2010/wordml" w:rsidTr="494E1014" w14:paraId="41C8F396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72A3D3E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93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0D0B940D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1" w:type="dxa"/>
            <w:vMerge/>
            <w:tcBorders/>
            <w:tcMar/>
            <w:vAlign w:val="center"/>
          </w:tcPr>
          <w:p w14:paraId="0E27B00A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:rsidTr="494E1014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user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01" w:type="dxa"/>
            <w:vMerge/>
            <w:tcBorders/>
            <w:tcMar/>
            <w:vAlign w:val="center"/>
          </w:tcPr>
          <w:p w14:paraId="60061E4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4EAFD9C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B94D5A5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5FB081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xmlns:wp14="http://schemas.microsoft.com/office/word/2010/wordml" w14:paraId="44B87771" wp14:textId="77777777">
        <w:trPr>
          <w:trHeight w:val="1365" w:hRule="atLeast"/>
        </w:trPr>
        <w:tc>
          <w:tcPr>
            <w:tcW w:w="9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7C777F0C" wp14:textId="77777777">
            <w:pPr>
              <w:pStyle w:val="Normal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 ukończeniu tego kursu student powinien rozumieć znaczenie głównych wątków przekazu zawartego w prostych i bardziej skomplikowanych wypowiedziach, które dotyczą znanych mu spraw i zdarzeń typowych dla pracy, szkoły, czasu wolnego itd. Będzie tworzył spójne wypowiedzi na tematy, które są mu znane lub które go interesują. Będzie potrafił opisywać doświadczenia, wydarzenia, marzenia, nadzieje i aspiracje, krótko uzasadniając bądź wyjaśniając swoje opinie i plany na poziomie B1.</w:t>
            </w:r>
          </w:p>
        </w:tc>
      </w:tr>
    </w:tbl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8"/>
        <w:gridCol w:w="7741"/>
      </w:tblGrid>
      <w:tr xmlns:wp14="http://schemas.microsoft.com/office/word/2010/wordml" w14:paraId="2A0ECAAC" wp14:textId="77777777">
        <w:trPr>
          <w:trHeight w:val="550" w:hRule="atLeast"/>
        </w:trPr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B99056E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  <w:p w14:paraId="326EEDA6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Znajomość następujących tematów:                                                                                   -  gramatyka (wszystkie najważniejsze struktury gramatyki języka  hiszpańskiego na poziomie A2);                                                                                                                                              -  rozumienie tekstów (artykuły prasowe, proste teksty literackie);                                                 -  wypowiedzi pisemne (krótkie notatki, listy, opisy osób, sytuacji, wypracowania).</w:t>
            </w:r>
          </w:p>
          <w:p w14:paraId="1299C43A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7703FA08" wp14:textId="77777777">
        <w:trPr>
          <w:trHeight w:val="577" w:hRule="atLeast"/>
        </w:trPr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DDBEF00" wp14:textId="77777777">
            <w:pPr>
              <w:pStyle w:val="Zawartotabeliuser"/>
              <w:snapToGrid w:val="false"/>
              <w:spacing w:before="57" w:after="57"/>
              <w:rPr/>
            </w:pPr>
            <w:r>
              <w:rPr/>
            </w:r>
          </w:p>
          <w:p w14:paraId="2E28B1DC" wp14:textId="77777777">
            <w:pPr>
              <w:pStyle w:val="Zawartotabeliuser"/>
              <w:spacing w:before="57" w:after="57"/>
              <w:rPr/>
            </w:pPr>
            <w:r>
              <w:rPr>
                <w:rFonts w:ascii="Arial" w:hAnsi="Arial" w:cs="Arial"/>
                <w:color w:val="33336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oprawność gramatyczna, stylistyczna i komunikacyjna wypowiedzi pisemnych i ustnych na poziomie A2.</w:t>
            </w:r>
          </w:p>
          <w:p w14:paraId="3461D779" wp14:textId="77777777">
            <w:pPr>
              <w:pStyle w:val="Zawartotabeliuser"/>
              <w:spacing w:before="57" w:after="57"/>
              <w:rPr/>
            </w:pPr>
            <w:r>
              <w:rPr/>
            </w:r>
          </w:p>
        </w:tc>
      </w:tr>
      <w:tr xmlns:wp14="http://schemas.microsoft.com/office/word/2010/wordml" w14:paraId="7703ADF6" wp14:textId="77777777">
        <w:trPr/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CF2D8B6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  <w:p w14:paraId="73E068AF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</w:rPr>
              <w:t>Gramatyka języka hiszpańskiego I i II</w:t>
            </w:r>
          </w:p>
          <w:p w14:paraId="0FB78278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1FC39945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562CB0E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  <w:r>
        <w:br w:type="page"/>
      </w:r>
    </w:p>
    <w:p xmlns:wp14="http://schemas.microsoft.com/office/word/2010/wordml" w14:paraId="44A509E2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34CE0A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8"/>
        <w:gridCol w:w="5297"/>
        <w:gridCol w:w="244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8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275" w:hRule="atLeast"/>
          <w:cantSplit w:val="true"/>
        </w:trPr>
        <w:tc>
          <w:tcPr>
            <w:tcW w:w="1978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2EBF3C5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591F4547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14:paraId="3E941DF5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4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3AB08AE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6D98A12B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E8F13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5"/>
        <w:gridCol w:w="2493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A5F1B67" wp14:textId="77777777">
        <w:trPr>
          <w:trHeight w:val="1446" w:hRule="atLeast"/>
          <w:cantSplit w:val="true"/>
        </w:trPr>
        <w:tc>
          <w:tcPr>
            <w:tcW w:w="1982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10FFD37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7F5EBCA0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28FAAE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U02, umie współpracować w grupie wymieniając się opiniami i argumentując swój wybór w celu rozwiązania ćwiczeń</w:t>
            </w:r>
          </w:p>
          <w:p w14:paraId="17DB90B9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U03: student posługuje się językiem hiszpańskim na poziomie średniozaawansowanym</w:t>
            </w:r>
          </w:p>
          <w:p w14:paraId="6B061ABA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U04: Przygotowuje i redaguje prace pisemne w języku hiszpańskim na poziomie średniozaawansowanym</w:t>
            </w:r>
          </w:p>
          <w:p w14:paraId="5C23BB6E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U05: Przygotowuje wystąpienia ustne i prezentacje w języku hiszpańskim na poziomie średniozaawansowanym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417E583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B699379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F72F646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08CE6F9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1CDCEAD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AD86A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6BB9E253" wp14:textId="77777777">
            <w:pPr>
              <w:pStyle w:val="Normal"/>
              <w:rPr/>
            </w:pPr>
            <w:r>
              <w:rPr/>
            </w:r>
          </w:p>
          <w:p w14:paraId="23DE523C" wp14:textId="77777777">
            <w:pPr>
              <w:pStyle w:val="Normal"/>
              <w:rPr/>
            </w:pPr>
            <w:r>
              <w:rPr/>
            </w:r>
          </w:p>
          <w:p w14:paraId="3F03F1C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52E56223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D0542B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07547A0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86615C6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xmlns:wp14="http://schemas.microsoft.com/office/word/2010/wordml" w14:paraId="5043CB0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7459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5"/>
        <w:gridCol w:w="2493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565" w:hRule="atLeast"/>
          <w:cantSplit w:val="true"/>
        </w:trPr>
        <w:tc>
          <w:tcPr>
            <w:tcW w:w="1982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537F28F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61B5EFCC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7CA20EF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6DFB9E20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44A5D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8"/>
        <w:gridCol w:w="850"/>
        <w:gridCol w:w="272"/>
        <w:gridCol w:w="861"/>
        <w:gridCol w:w="316"/>
        <w:gridCol w:w="819"/>
        <w:gridCol w:w="283"/>
        <w:gridCol w:w="850"/>
        <w:gridCol w:w="285"/>
        <w:gridCol w:w="852"/>
        <w:gridCol w:w="281"/>
        <w:gridCol w:w="850"/>
        <w:gridCol w:w="32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7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user"/>
              <w:spacing w:before="57" w:after="57"/>
              <w:ind w:left="45" w:right="13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FDC3BE2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3B3AB60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8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38610EB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8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37805D2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316D17B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463F29E8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336E69A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B7B4B8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FE97689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A0FF5F2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66DDAA3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630AD6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9E7D876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182907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5AEDD99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BA226A1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7AD93B2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E4B5B7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19897CE" wp14:textId="77777777">
            <w:pPr>
              <w:pStyle w:val="Zawartotabeliuser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6204FF1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DBF0D7D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B62F1B3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02F2C34E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80A4E5D" wp14:textId="77777777">
        <w:trPr>
          <w:trHeight w:val="462" w:hRule="atLeast"/>
        </w:trPr>
        <w:tc>
          <w:tcPr>
            <w:tcW w:w="160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921983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96FEF7D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194DBD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69D0D3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4CD245A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231BE67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6FEB5B0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0D7AA69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196D064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FF1C98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072C0D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  <w:r>
        <w:br w:type="page"/>
      </w:r>
    </w:p>
    <w:p xmlns:wp14="http://schemas.microsoft.com/office/word/2010/wordml" w14:paraId="2FEAC4CC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48A2191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03B85634" wp14:textId="77777777">
        <w:trPr>
          <w:trHeight w:val="1365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8F4C413" wp14:textId="77777777">
            <w:pPr>
              <w:pStyle w:val="Zawartotabeliuser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 celu przybliżenia studentowi nauczanych treści, zachęcenie go do aktywności i wykorzystywania wiedzy teoretycznej w praktyce, także poza murami uczelni.</w:t>
            </w:r>
          </w:p>
        </w:tc>
      </w:tr>
    </w:tbl>
    <w:p xmlns:wp14="http://schemas.microsoft.com/office/word/2010/wordml" w14:paraId="6BD18F9B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8601FE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user"/>
        <w:rPr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0F3CABC7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B08B5D1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1" w:type="dxa"/>
        <w:jc w:val="left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5"/>
        <w:gridCol w:w="664"/>
        <w:gridCol w:w="666"/>
        <w:gridCol w:w="669"/>
        <w:gridCol w:w="666"/>
        <w:gridCol w:w="666"/>
        <w:gridCol w:w="665"/>
        <w:gridCol w:w="666"/>
        <w:gridCol w:w="565"/>
        <w:gridCol w:w="771"/>
        <w:gridCol w:w="666"/>
        <w:gridCol w:w="664"/>
        <w:gridCol w:w="755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16DEB4AB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541A307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D9C6F4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3096EF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1F511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5F9C3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23141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3B14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2C75D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64355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6511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F4E37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4FB30F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E0CB7F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DA6542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64C8593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41E394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E61A33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22B00A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2C6D7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E1831B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E11D2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1126E5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5697B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DE403A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431C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9E398E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A7E72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287F2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76AA34F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E93A62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E3BE76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4BA7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4B3F2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34F5C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4020A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D7B270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F67DA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F904CB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971CD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1F701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3EFCA4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F96A72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3F94B70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95CD12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551937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220BB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3CB595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D9C8D3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5E05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7F8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0B404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4F722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AE48A4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F40D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7A5229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07DCDA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14E9D5AD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0EA2D7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06A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DD355C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81F0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17AAFB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EE48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08EB2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F38BB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21FD38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E2DD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735753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726491C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7F023C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28A5069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DB5498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BC5ABD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16C19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486946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7F57B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738AF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ABBD8F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BBA3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4FCBC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C8C6B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382A36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8B4751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C71F13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969EDC6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199465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3C354A8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DA123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C4CEA3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89567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C1F85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C8FE7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7FA147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004F1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C0C65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8D56C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97E50C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B04FA4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8C698B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FDFCD0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3948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A258D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FFBD3E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DCCC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AF688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1615E5F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C529E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C0157D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91E7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26770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CBEED8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E36661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645DC7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35E58C4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8"/>
        <w:gridCol w:w="7741"/>
      </w:tblGrid>
      <w:tr xmlns:wp14="http://schemas.microsoft.com/office/word/2010/wordml" w14:paraId="5F359D49" wp14:textId="77777777">
        <w:trPr/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14:paraId="39CCED9F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eastAsia="Arial" w:cs="Arial"/>
                <w:color w:val="000000"/>
                <w:sz w:val="22"/>
                <w:szCs w:val="22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771CC8F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0%-69,9% - 2,0</w:t>
            </w:r>
          </w:p>
          <w:p w14:paraId="24B32CAB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70%-75% - 3,0</w:t>
            </w:r>
          </w:p>
          <w:p w14:paraId="43A567D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76%-81% - 3,5</w:t>
            </w:r>
          </w:p>
          <w:p w14:paraId="0D5C92F9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82%-87% - 4,0</w:t>
            </w:r>
          </w:p>
          <w:p w14:paraId="76A41D83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88%-94% - 4,5</w:t>
            </w:r>
          </w:p>
          <w:p w14:paraId="4EF045E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95%-100% - 5,0</w:t>
            </w:r>
          </w:p>
          <w:p w14:paraId="63E4A9CD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50B003CD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Zaliczenie na podstawie kolokwiów cząstkowych, krótkich testów, zadań domowych, obecności i aktywnego udziału w zajęciach (frekwencja co najmniej 80% bez możliwości usprawiedliwienia nieobecności). </w:t>
            </w:r>
          </w:p>
          <w:p w14:paraId="4F6584BE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40625C57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 razie niezaliczenia/niepisania jednego z kolokwiów cząstkowych, student podchodzi do niego pod koniec semestru. W przypadku niezaliczenia dwóch lub więcej kolokwiów cząstkowych, student podchodzi do kolokwium poprawkowego z materiału ze wszystkich kolokwiów cząstkowych. W razie niezdania kolokwium poprawkowego i/lub przekroczenia dozwolonej liczby nieobecności na zajęciach, zaliczenie na podstawie kolokwium zaliczeniowego z materiału zrealizowanego w całym semestrze.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3827124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 zdobyciu zaliczenia, studenci podchodzą do egzaminu pisemnego. W przypadku uzyskania oceny niedostatecznej, student pisze egzamin w sesji poprawkowej.</w:t>
            </w:r>
          </w:p>
          <w:p w14:paraId="62EBF9A1" wp14:textId="77777777">
            <w:pPr>
              <w:pStyle w:val="Zawartotabeliuser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</w:tr>
    </w:tbl>
    <w:p xmlns:wp14="http://schemas.microsoft.com/office/word/2010/wordml" w14:paraId="0C6C2CD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09E88E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8"/>
        <w:gridCol w:w="7741"/>
      </w:tblGrid>
      <w:tr xmlns:wp14="http://schemas.microsoft.com/office/word/2010/wordml" w14:paraId="0E572901" wp14:textId="77777777">
        <w:trPr>
          <w:trHeight w:val="1089" w:hRule="atLeast"/>
        </w:trPr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spacing w:before="0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348E50D" wp14:textId="77777777">
            <w:pPr>
              <w:pStyle w:val="Zawartotabeliuser"/>
              <w:snapToGrid w:val="false"/>
              <w:spacing w:before="57" w:after="57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Zajęcia stacjonarne, jednak w razie konieczności związanej z sytuacją epidemiologiczną mogą tymczasowo bądź stale przyjąć formę zdalną.</w:t>
            </w:r>
          </w:p>
          <w:p w14:paraId="72E59115" wp14:textId="77777777">
            <w:pPr>
              <w:pStyle w:val="Zawartotabeliuser"/>
              <w:snapToGrid w:val="false"/>
              <w:spacing w:before="57" w:after="57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Egzamin końcowy w formie pisemnej również odbywa się stacjonarnie, chyba że sytuacja epidemiologiczna wymusi formę zdalną.</w:t>
            </w:r>
          </w:p>
        </w:tc>
      </w:tr>
    </w:tbl>
    <w:p xmlns:wp14="http://schemas.microsoft.com/office/word/2010/wordml" w14:paraId="508C98E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79F8E7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/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7818863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3622A6F4" wp14:textId="77777777">
        <w:trPr>
          <w:trHeight w:val="1136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7F4837C" wp14:textId="77777777">
            <w:pPr>
              <w:pStyle w:val="Normal"/>
              <w:spacing w:before="57" w:after="57" w:line="360" w:lineRule="auto"/>
              <w:rPr/>
            </w:pPr>
            <w:r>
              <w:rPr>
                <w:rFonts w:ascii="Arial" w:hAnsi="Arial" w:cs="Arial"/>
                <w:sz w:val="22"/>
                <w:szCs w:val="22"/>
              </w:rPr>
              <w:t xml:space="preserve">Mowa zależna w trybie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indicativo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Następstwo czasów w trybie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indicativo</w:t>
            </w:r>
            <w:r>
              <w:rPr>
                <w:rFonts w:ascii="Arial" w:hAnsi="Arial" w:cs="Arial"/>
                <w:sz w:val="22"/>
                <w:szCs w:val="22"/>
              </w:rPr>
              <w:t xml:space="preserve">. Formy i użycie trybu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 xml:space="preserve"> w czasie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presente, pret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érito perfecto, imperfecto i pluscuamperfecto</w:t>
            </w:r>
            <w:r>
              <w:rPr>
                <w:rFonts w:ascii="Arial" w:hAnsi="Arial" w:cs="Arial"/>
                <w:sz w:val="22"/>
                <w:szCs w:val="22"/>
              </w:rPr>
              <w:t xml:space="preserve">. Zdania czasowe, miejsca, sposobu, przyzwalające, przyczynowe, celowe, wynikowe i powielające. Następstwo czasów w trybie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>. Zdania warunkowe wszystkich typów.</w:t>
            </w:r>
          </w:p>
        </w:tc>
      </w:tr>
    </w:tbl>
    <w:p xmlns:wp14="http://schemas.microsoft.com/office/word/2010/wordml" w14:paraId="44F69B9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9747DD" wp14:textId="77777777">
      <w:pPr>
        <w:pStyle w:val="Normal"/>
        <w:rPr/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5F07D11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63931916" wp14:textId="77777777">
        <w:trPr>
          <w:trHeight w:val="855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A0D0B9B" wp14:textId="77777777">
            <w:pPr>
              <w:pStyle w:val="Normal"/>
              <w:snapToGrid w:val="false"/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Materiały przygotowane przez prowadzącą i udostępnione poprzez e-mail lub aplikację Microsoft Teams.</w:t>
            </w:r>
          </w:p>
          <w:p w14:paraId="445E7864" wp14:textId="77777777">
            <w:pPr>
              <w:pStyle w:val="Normal"/>
              <w:snapToGrid w:val="false"/>
              <w:spacing w:before="60" w:after="60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Temas de gramática con ejercicios prácticos. Nivel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14:paraId="7E6F3954" wp14:textId="77777777">
            <w:pPr>
              <w:pStyle w:val="Normal"/>
              <w:snapToGrid w:val="false"/>
              <w:spacing w:before="60" w:after="60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A1-B2,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Aragonés, Ramón Palencia,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08AD00C1" wp14:textId="77777777">
            <w:pPr>
              <w:pStyle w:val="Normal"/>
              <w:snapToGrid w:val="false"/>
              <w:spacing w:before="60" w:after="60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B1-B2,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 w:eastAsia="zh-CN"/>
              </w:rPr>
              <w:t>Luis Aragonés, Ramón Palencia, wyd. SM ELE.</w:t>
            </w:r>
          </w:p>
        </w:tc>
      </w:tr>
    </w:tbl>
    <w:p xmlns:wp14="http://schemas.microsoft.com/office/word/2010/wordml" w14:paraId="41508A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43D6B1D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5ECA26E4" wp14:textId="77777777">
        <w:trPr>
          <w:trHeight w:val="1112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35C0BB7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Aprende gramática y vocabulario 3,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Castro Viudez,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63CFEE7E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ñol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C1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-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bookmarkStart w:name="_GoBack" w:id="0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27D18643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USO de la gramática española,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nivel avanzado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Francisca Castro,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Edelsa.</w:t>
            </w:r>
          </w:p>
          <w:p w14:paraId="166A51D8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Practica tu español – el subjuntivo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Inmaculada Molina,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14:paraId="73EEAE12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Practica. Problemas frecuentes del español – nivel B1,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Fernández Vargas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5DCF206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Ana Lucía Estevez dos Santos,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Santillana.</w:t>
            </w:r>
          </w:p>
          <w:p w14:paraId="0663A2F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Gramática Básica del Estudiante de Español,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osario Alonso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 LektorKlett.</w:t>
            </w:r>
          </w:p>
          <w:p w14:paraId="1E9F4E9A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Prácticas de lengua española – nivel medio y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Rafael Álvarez Merlo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VG Ediciones.</w:t>
            </w:r>
          </w:p>
          <w:p w14:paraId="285C40A5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Competencia gramatical en USO –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Alfredo González Hermoso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14:paraId="3C068F3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En gramática – intermedio,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.</w:t>
            </w:r>
          </w:p>
          <w:p w14:paraId="3BBCA1BA" wp14:textId="77777777">
            <w:pPr>
              <w:pStyle w:val="Normal"/>
              <w:snapToGrid w:val="false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Tiempo para practicar el indicativo y el subjuntivo,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María Pilar Hernández Mercedes,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14:paraId="28966ECE" wp14:textId="77777777">
            <w:pPr>
              <w:pStyle w:val="Normal"/>
              <w:snapToGrid w:val="false"/>
              <w:spacing w:before="62" w:after="62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Curso de perfeccionamiento: hablar, escribir y pensar en español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Concha Moreno, Martina Tuts, wyd.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SGEL.</w:t>
            </w:r>
          </w:p>
        </w:tc>
      </w:tr>
    </w:tbl>
    <w:p xmlns:wp14="http://schemas.microsoft.com/office/word/2010/wordml" w14:paraId="17DBC1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F8BD81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</w:rPr>
      </w:r>
      <w:r>
        <w:br w:type="page"/>
      </w:r>
    </w:p>
    <w:p xmlns:wp14="http://schemas.microsoft.com/office/word/2010/wordml" w14:paraId="0CCFC7CA" wp14:textId="77777777">
      <w:pPr>
        <w:pStyle w:val="Tekstdymka1"/>
        <w:spacing w:before="0"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2613E9C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62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CF52D3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1037B8A3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87C6DE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0DA321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55FDEA22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B2F9378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8C8A010" wp14:textId="77777777">
            <w:pPr>
              <w:pStyle w:val="Normal"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E6DD4E" wp14:textId="77777777">
            <w:pPr>
              <w:pStyle w:val="Normal"/>
              <w:widowControl/>
              <w:snapToGrid w:val="false"/>
              <w:spacing w:line="276" w:lineRule="auto"/>
              <w:ind w:left="0" w:hanging="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r>
          </w:p>
        </w:tc>
      </w:tr>
      <w:tr xmlns:wp14="http://schemas.microsoft.com/office/word/2010/wordml" w14:paraId="44C44CA9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lang w:val="es-E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7D3BEE8F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3B88899E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9E2BB2B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7C0D79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07918A9A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D142F6F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4BFDD70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lang w:val="es-E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  <w:t>25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A771A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lang w:val="es-E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0B77815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4475AD14" wp14:textId="77777777">
      <w:pPr>
        <w:pStyle w:val="Tekstdymka1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5FBE423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2D3F0BEC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5CF4315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20C4E94" wp14:textId="77777777"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2AFC42D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71CA723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nsid w:val="72e77027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3814223c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10"/>
  <w:embedSystemFonts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04AE8"/>
    <w:rsid w:val="0169669E"/>
    <w:rsid w:val="2CA04AE8"/>
    <w:rsid w:val="384044DB"/>
    <w:rsid w:val="494E1014"/>
  </w:rsids>
  <w:themeFontLang w:val="pl-PL" w:eastAsia="ja-JP" w:bidi="ar-SA"/>
  <w14:docId w14:val="1302EFCD"/>
  <w15:docId w15:val="{BD8CF984-6DFD-439C-8EF7-252FF338ADF8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Arial"/>
      <w:i/>
      <w:iCs/>
      <w:sz w:val="22"/>
      <w:szCs w:val="22"/>
      <w:lang w:val="pl-PL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Znakinumeracjiuser" w:customStyle="1">
    <w:name w:val="Znaki numeracji (user)"/>
    <w:qFormat/>
    <w:rPr>
      <w:rFonts w:ascii="Arial" w:hAnsi="Arial" w:cs="Arial"/>
      <w:sz w:val="22"/>
      <w:szCs w:val="22"/>
    </w:rPr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normaltextrun" w:customStyle="1">
    <w:name w:val="normaltextrun"/>
    <w:basedOn w:val="DefaultParagraphFont"/>
    <w:qFormat/>
    <w:rsid w:val="00767ab7"/>
    <w:rPr/>
  </w:style>
  <w:style w:type="character" w:styleId="eop" w:customStyle="1">
    <w:name w:val="eop"/>
    <w:basedOn w:val="DefaultParagraphFont"/>
    <w:qFormat/>
    <w:rsid w:val="00767ab7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eastAsia="Microsoft YaHei" w:cs="Arial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istopkauser" w:customStyle="1">
    <w:name w:val="Główka i stopka (user)"/>
    <w:basedOn w:val="Normal"/>
    <w:qFormat/>
    <w:pPr>
      <w:suppressLineNumbers/>
      <w:tabs>
        <w:tab w:val="clear" w:pos="708"/>
        <w:tab w:val="center" w:leader="none" w:pos="4819"/>
        <w:tab w:val="right" w:leader="none" w:pos="9638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user" w:customStyle="1">
    <w:name w:val="Zawartość tabeli (user)"/>
    <w:basedOn w:val="Normal"/>
    <w:qFormat/>
    <w:pPr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  <w:i/>
      <w:iCs/>
    </w:rPr>
  </w:style>
  <w:style w:type="paragraph" w:styleId="Zawartoramkiuser" w:customStyle="1">
    <w:name w:val="Zawartość ramki (user)"/>
    <w:basedOn w:val="BodyText"/>
    <w:qFormat/>
    <w:pPr/>
    <w:rPr/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BalloonText0" w:customStyle="1">
    <w:name w:val="Balloon Text0"/>
    <w:basedOn w:val="Normal"/>
    <w:qFormat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qFormat/>
    <w:pPr/>
    <w:rPr>
      <w:b/>
      <w:bCs/>
    </w:rPr>
  </w:style>
  <w:style w:type="paragraph" w:styleId="paragraph" w:customStyle="1">
    <w:name w:val="paragraph"/>
    <w:basedOn w:val="Normal"/>
    <w:qFormat/>
    <w:rsid w:val="00767ab7"/>
    <w:pPr>
      <w:widowControl/>
      <w:suppressAutoHyphens w:val="false"/>
      <w:spacing w:beforeAutospacing="1" w:afterAutospacing="1"/>
    </w:pPr>
    <w:rPr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7257758-2D0F-4EFB-A777-388219ADAA26}"/>
</file>

<file path=customXml/itemProps2.xml><?xml version="1.0" encoding="utf-8"?>
<ds:datastoreItem xmlns:ds="http://schemas.openxmlformats.org/officeDocument/2006/customXml" ds:itemID="{0F8C2904-0169-4311-9DCC-5FF8FCD29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74218-3CF1-467F-BF9E-C1DEC6DD67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81C2AE73-B17D-4DFD-B936-23946651017A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dc:description/>
  <cp:lastModifiedBy>Renata Czop</cp:lastModifiedBy>
  <cp:revision>16</cp:revision>
  <cp:lastPrinted>1995-11-22T01:41:00Z</cp:lastPrinted>
  <dcterms:created xsi:type="dcterms:W3CDTF">2023-09-21T22:11:00Z</dcterms:created>
  <dcterms:modified xsi:type="dcterms:W3CDTF">2025-10-27T17:28:33Z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</Properties>
</file>